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58" w:rsidRPr="00F26F58" w:rsidRDefault="00F26F58" w:rsidP="00F26F58">
      <w:pPr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 OF THE GENERAL COURT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Fifth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)</w:t>
      </w:r>
    </w:p>
    <w:p w:rsidR="00F26F58" w:rsidRPr="00F26F58" w:rsidRDefault="00F26F58" w:rsidP="00F26F58">
      <w:pPr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11 July 2019 (</w:t>
      </w:r>
      <w:bookmarkStart w:id="0" w:name="Footref*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instrText xml:space="preserve"> HYPERLINK "http://curia.europa.eu/juris/document/document.jsf?docid=216073&amp;mode=lst&amp;pageIndex=1&amp;dir=&amp;occ=first&amp;part=1&amp;text=&amp;doclang=EN&amp;cid=2022889" \l "Footnote*" </w:instrText>
      </w:r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F26F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LU" w:eastAsia="it-IT"/>
        </w:rPr>
        <w:t>*</w:t>
      </w:r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)</w:t>
      </w:r>
    </w:p>
    <w:p w:rsidR="00F26F58" w:rsidRPr="00F26F58" w:rsidRDefault="00F26F58" w:rsidP="00F26F58">
      <w:pPr>
        <w:spacing w:before="600" w:after="56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(REACH — Establishment of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</w:t>
      </w:r>
      <w:bookmarkStart w:id="1" w:name="_GoBack"/>
      <w:bookmarkEnd w:id="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view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eventual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(EC) No 1907/2006 — Inclusion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as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toxic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reproduction— Articles 57 and 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1907/2006)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 Case T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>185/17,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PlasticsEurope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,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established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Brussels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Belgium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represented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R. Cana, É.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Mullier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F.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Mattioli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lawyers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</w:t>
      </w:r>
    </w:p>
    <w:p w:rsidR="00F26F58" w:rsidRPr="00F26F58" w:rsidRDefault="00F26F58" w:rsidP="00F26F58">
      <w:pPr>
        <w:spacing w:after="24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</w:t>
      </w:r>
    </w:p>
    <w:p w:rsidR="00F26F58" w:rsidRPr="00F26F58" w:rsidRDefault="00F26F58" w:rsidP="00F26F58">
      <w:pPr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</w:t>
      </w:r>
      <w:proofErr w:type="gramEnd"/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Chemicals Agency (ECHA),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represented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M.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Heikkilä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 W.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Broere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N.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Herbatschek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 acting as Agents,</w:t>
      </w:r>
    </w:p>
    <w:p w:rsidR="00F26F58" w:rsidRPr="00F26F58" w:rsidRDefault="00F26F58" w:rsidP="00F26F58">
      <w:pPr>
        <w:spacing w:after="24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defendant</w:t>
      </w:r>
      <w:proofErr w:type="spellEnd"/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supported</w:t>
      </w:r>
      <w:proofErr w:type="spellEnd"/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French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,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represented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initially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D. Colas, J.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Traband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B.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Fodda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subsequently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D. Colas, J.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Traband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E. de Moustier, acting as Agents,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and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,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established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London (United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Kingdom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represented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P. Kirch,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lawyer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</w:t>
      </w:r>
    </w:p>
    <w:p w:rsidR="00F26F58" w:rsidRPr="00F26F58" w:rsidRDefault="00F26F58" w:rsidP="00F26F58">
      <w:pPr>
        <w:spacing w:after="24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interveners</w:t>
      </w:r>
      <w:proofErr w:type="spellEnd"/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APPLICATION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263 TFEU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annulment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ECHA’s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4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January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 (ED/01/2017)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eventual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(EC) No 1907/2006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Parliament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of the Council of 18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Registration, Evaluation,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Restriction of Chemicals (REACH),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establishing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Chemicals Agency,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amending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Directive 1999/45/EC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repealing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Council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(EEC) No 793/93 and Commission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(EC) No 1488/94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well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Council Directive 76/769/EEC and Commission Directives 91/155/EEC, 93/67/EEC, 93/105/EC and 2000/21/EC (OJ 2006 L 396, p. 1,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corrigendum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OJ 2007 L 136, p. 3),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59(1)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ground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been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toxic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reproduction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57(c)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</w:t>
      </w:r>
    </w:p>
    <w:p w:rsidR="00F26F58" w:rsidRPr="00F26F58" w:rsidRDefault="00F26F58" w:rsidP="00F26F58">
      <w:pPr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 GENERAL COURT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Fifth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),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composed</w:t>
      </w:r>
      <w:proofErr w:type="spellEnd"/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D.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Gratsias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President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 I.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Labucka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A.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Dittrich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(Rapporteur),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Registrar: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F.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Oller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Administrator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>having</w:t>
      </w:r>
      <w:proofErr w:type="spellEnd"/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regard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written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part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further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hearing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11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2018,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gives</w:t>
      </w:r>
      <w:proofErr w:type="spellEnd"/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following</w:t>
      </w:r>
      <w:proofErr w:type="spellEnd"/>
    </w:p>
    <w:p w:rsidR="00F26F58" w:rsidRPr="00F26F58" w:rsidRDefault="00F26F58" w:rsidP="00F26F58">
      <w:pPr>
        <w:spacing w:before="480" w:after="48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</w:pP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Judgment</w:t>
      </w:r>
      <w:proofErr w:type="spellEnd"/>
    </w:p>
    <w:p w:rsidR="00F26F58" w:rsidRPr="00F26F58" w:rsidRDefault="00F26F58" w:rsidP="00F26F58">
      <w:pPr>
        <w:spacing w:before="480" w:after="24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 Background to the dispute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" w:name="point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</w:t>
      </w:r>
      <w:bookmarkEnd w:id="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(2,2-bis(4-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hydroxyphenyl)propane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or 4,4’-isopropylidenediphenol, EC 201-245-8, CAS 0000080-05-7)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mainly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monomer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the manufacture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polymers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regard,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In addition,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non-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purposes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case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manufacture of thermal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paper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" w:name="point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</w:t>
      </w:r>
      <w:bookmarkEnd w:id="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  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adopting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Commission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(EU) 2016/1179 of 19 July 2016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amending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purposes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adaptation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technical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scientific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progress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(EC) No 1272/2008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Parliament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of the Council on classification, labelling and packaging of substances and mixtures (OJ 2016 L 195, p. 11),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Commission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amended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Annex VI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(EC) No 1272/2008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Parliament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of the Council of 16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2008 on classification, labelling and packaging of substances and mixtures,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amending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repealing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Directives 67/548/EEC and 1999/45/EC,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amending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(EC) No 1907/2006 (OJ 2008 L 353, p. 1)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classified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toxic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reproduction,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category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1B. Under Article 2(2)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2016/1179,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applicable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1 March 2018.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" w:name="point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</w:t>
      </w:r>
      <w:bookmarkEnd w:id="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  On 30 August 2016,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59(3)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(EC) No 1907/2006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Parliament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of the Council of 18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Registration, Evaluation,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Restriction of Chemicals (REACH),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establishing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Chemicals Agency,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amending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Directive 1999/45/EC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repealing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Council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(EEC) No 793/93 and Commission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(EC) No 1488/94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well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Council Directive 76/769/EEC and Commission Directives 91/155/EEC, 93/67/EEC, 93/105/EC and 2000/21/EC (OJ 2006 L 396, p. 1,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corrigendum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OJ 2007 L 136, p. 3), the French Agency for Food,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Environmental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Occupational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Health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Safety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(ANSES) (‘the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’)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Chemicals Agency (ECHA)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dossier,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Annex XV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proposing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identification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as a substance meeting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criteria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set out in Article 57(c)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on the basis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classification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toxic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reproduction. At point 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dossier,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entitled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‘Information on uses of the substance’,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but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substance’s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sole use.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" w:name="point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</w:t>
      </w:r>
      <w:bookmarkEnd w:id="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  On 20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2016,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PlasticsEurope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comments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dossier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 international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professional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association,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established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Belgium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governed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Belgian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represents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defends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interests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over 100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undertakings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made up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manufacturers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importers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plastic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products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It has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personality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capacity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Four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undertakings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active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placing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market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Union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part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‘Polycarbonate/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A’ group.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members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group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market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both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non-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" w:name="point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>5</w:t>
      </w:r>
      <w:bookmarkEnd w:id="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  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59(7)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ECHA sent the dossier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prepared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Annex XV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State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Committee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" w:name="point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</w:t>
      </w:r>
      <w:bookmarkEnd w:id="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  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51st meeting,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took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place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12 to 16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ECHA’s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State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Committee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unanimously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as a substance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meets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criteria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set out in Article 57(c)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8" w:name="point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</w:t>
      </w:r>
      <w:bookmarkEnd w:id="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  On 4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January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Executive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Director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adopted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ED/01/2017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whereby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eventual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59(1)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(‘the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substances’),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ground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been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toxic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reproduction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57(c)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(‘the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’). 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9" w:name="point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8</w:t>
      </w:r>
      <w:bookmarkEnd w:id="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  On 12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January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published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ECHA’s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website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date,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2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operative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part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updated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version of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published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ECHA’s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website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480" w:after="24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 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forms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sought</w:t>
      </w:r>
      <w:proofErr w:type="spellEnd"/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0" w:name="point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9</w:t>
      </w:r>
      <w:bookmarkEnd w:id="1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  By application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21 March 2017,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brought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action.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defence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21 June 2017.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1" w:name="point1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10</w:t>
      </w:r>
      <w:bookmarkEnd w:id="1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document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10 and 11 July 2017,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respectively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leave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intervene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support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sought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ECHA.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2" w:name="point1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11</w:t>
      </w:r>
      <w:bookmarkEnd w:id="1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21 August 2017.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3" w:name="point1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12</w:t>
      </w:r>
      <w:bookmarkEnd w:id="1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separate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documents,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24 and 28 August 2017,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two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confidential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treatment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certain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communicated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application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respectively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4" w:name="point1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13</w:t>
      </w:r>
      <w:bookmarkEnd w:id="1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On 15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September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put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application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placed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copy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Court file.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5" w:name="point1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14</w:t>
      </w:r>
      <w:bookmarkEnd w:id="1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On 2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rejoinder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6" w:name="point1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15</w:t>
      </w:r>
      <w:bookmarkEnd w:id="1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two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1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President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Fifth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General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granted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respective applications of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leave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intervene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7" w:name="point1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16</w:t>
      </w:r>
      <w:bookmarkEnd w:id="1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oppose,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prescribed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time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limit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confidential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treatment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certain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communicated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application,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24 August 2017,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granted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Rules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General Court.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8" w:name="point1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17</w:t>
      </w:r>
      <w:bookmarkEnd w:id="1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written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submission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18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opposed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confidential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treatment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28 August 2017.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19" w:name="point1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>18</w:t>
      </w:r>
      <w:bookmarkEnd w:id="1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On 15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January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2018,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intervention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drafted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basis of a non-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confidential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version of the application, and the main parties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observations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26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February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2018.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0" w:name="point1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19</w:t>
      </w:r>
      <w:bookmarkEnd w:id="2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1 March 2018,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President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Fifth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General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confidential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treatment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vis-à-vis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1" w:name="point2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20</w:t>
      </w:r>
      <w:bookmarkEnd w:id="2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On 19 March 2018,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supplementary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intervention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2" w:name="point2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21</w:t>
      </w:r>
      <w:bookmarkEnd w:id="2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On 9 April 2018,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confidential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treatment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seeking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redaction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certain information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supplementary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intervention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attached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non-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confidential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version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3" w:name="point2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22</w:t>
      </w:r>
      <w:bookmarkEnd w:id="2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object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confidential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treatment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21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prescribed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period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4" w:name="point2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23</w:t>
      </w:r>
      <w:bookmarkEnd w:id="2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On 18 May 2018,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respective observations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supplementary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intervention at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Registry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5" w:name="point2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24</w:t>
      </w:r>
      <w:bookmarkEnd w:id="2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At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hearing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question put by the Court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manner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61 of the application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first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relate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been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 substance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all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uses, but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explicitly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Therefore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lack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explicit exclusion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leads to the conclusion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ECHA has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infringed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6" w:name="point2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25</w:t>
      </w:r>
      <w:bookmarkEnd w:id="2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claims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Court </w:t>
      </w: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:</w:t>
      </w:r>
      <w:proofErr w:type="gramEnd"/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–  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annul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–  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ECHA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pay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costs;</w:t>
      </w:r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–  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further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justice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7" w:name="point2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26</w:t>
      </w:r>
      <w:bookmarkEnd w:id="2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contends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Court </w:t>
      </w: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:</w:t>
      </w:r>
      <w:proofErr w:type="gramEnd"/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–  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dismiss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action;</w:t>
      </w:r>
      <w:proofErr w:type="gramEnd"/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–  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8" w:name="point2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27</w:t>
      </w:r>
      <w:bookmarkEnd w:id="2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contends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Court </w:t>
      </w: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:</w:t>
      </w:r>
      <w:proofErr w:type="gramEnd"/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–  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dismiss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action;</w:t>
      </w:r>
      <w:proofErr w:type="gramEnd"/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–  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29" w:name="point2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28</w:t>
      </w:r>
      <w:bookmarkEnd w:id="2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contends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part,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Court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dismiss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action.</w:t>
      </w:r>
    </w:p>
    <w:p w:rsidR="00F26F58" w:rsidRPr="00F26F58" w:rsidRDefault="00F26F58" w:rsidP="00F26F58">
      <w:pPr>
        <w:spacing w:before="480" w:after="24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lastRenderedPageBreak/>
        <w:t> Law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 </w:t>
      </w:r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The application for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annulment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decision</w:t>
      </w:r>
      <w:proofErr w:type="spellEnd"/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0" w:name="point2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29</w:t>
      </w:r>
      <w:bookmarkEnd w:id="3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relies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three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1" w:name="point3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30</w:t>
      </w:r>
      <w:bookmarkEnd w:id="3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first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adopting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without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explicitly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excluding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infringed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The second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alleges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breach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principle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proportionality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By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complains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manifest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error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failing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A.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First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alleging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infringement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of Article 2(8)(b) of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No 1907/2006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2" w:name="point3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31</w:t>
      </w:r>
      <w:bookmarkEnd w:id="3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first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identifying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as a substance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all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explicitly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excluding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infringed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3" w:name="point3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32</w:t>
      </w:r>
      <w:bookmarkEnd w:id="3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first place,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Union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mainly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the production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substances.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exempt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the identification of substances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pursuant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Articles 57 and 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4" w:name="point3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33</w:t>
      </w:r>
      <w:bookmarkEnd w:id="3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First,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unambiguous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exempted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Title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VII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entirety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without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exception, and,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therefore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application of Articles 57 and 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found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Title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VII.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sharp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contrast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particular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of Article 2(8)(a)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exempts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Chapter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1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Title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II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exception of Articles 8 and 9’.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5" w:name="point3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34</w:t>
      </w:r>
      <w:bookmarkEnd w:id="3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Secondly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heading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57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‘Substances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Annex XIV’, shows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a substance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a self-standing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but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first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step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cannot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separated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construed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achieve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independent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objectives. That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supported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specifies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‘for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purpose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identifying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substances meeting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criteria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57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establishing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eventual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Annex XIV’.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submission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use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eventual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indicates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a substance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lead, 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some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point,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do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scope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do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scope of the stages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constitute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Articles 57 and 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6" w:name="point3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35</w:t>
      </w:r>
      <w:bookmarkEnd w:id="3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series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provisions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illustrate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context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scheme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evaluating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substances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substances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established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substances have a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specific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’.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regard,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specific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category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namely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means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moreover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 xml:space="preserve">provisions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 must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understood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uses’. The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nature’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recognised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recital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41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implicitly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necessarily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requirements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registration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substances, as laid down in Articles 17 to 19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7" w:name="point3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36</w:t>
      </w:r>
      <w:bookmarkEnd w:id="3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legislature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exemption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Title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VII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entirety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fell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short of a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level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protection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because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have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correction to the exemption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similar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constituted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reference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strictly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controlled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conditions’ in Article 17(3) and Article 18(4)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By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applying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correction,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legislature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clearly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submission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all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exempt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Title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VII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entirety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 exceptions 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conditions.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8" w:name="point3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37</w:t>
      </w:r>
      <w:bookmarkEnd w:id="3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Fourthly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on-site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strictly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controlled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conditions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exempt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evaluation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49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further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grounds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human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health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environment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context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second sentence of Article 49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provides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State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use of an on-site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equivalent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level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arising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use of substances meeting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criteria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Article 57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registrant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further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directly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examine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and, if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necessary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recommend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appropriate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reduction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address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risks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relation to the site in question.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submission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general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management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laid down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State-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specific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provision for on-site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rendered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meaningless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39" w:name="point3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38</w:t>
      </w:r>
      <w:bookmarkEnd w:id="3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second place,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various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guides and guidance documents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drafted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ECHA,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agency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itself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recognises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do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scope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recommends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of substances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establishes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view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second stage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documents,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recognises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are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subject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stage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0" w:name="point3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39</w:t>
      </w:r>
      <w:bookmarkEnd w:id="4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place,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comments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obtained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during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public consultation,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64(2)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itself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acknowledged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‘a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monomer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cannot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subject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[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1907/2006]’.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1" w:name="point4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40</w:t>
      </w:r>
      <w:bookmarkEnd w:id="4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fourth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place,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points out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triggers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significant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obligations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suppliers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substance.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suppliers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update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safety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data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sheet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31(9)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but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communicate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customers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and, 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consumers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concentration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>products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to enable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customers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consumers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suppliers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 compliance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notification and information obligations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33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In addition,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suppliers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notify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articles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amounts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concentration and tonnage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requirements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7(2)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inform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next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actor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change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applicable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management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pursuant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Article 34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2" w:name="point4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41</w:t>
      </w:r>
      <w:bookmarkEnd w:id="4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Following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undertaking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supplying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subject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abovementioned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obligations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though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submission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first,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degree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view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and,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secondly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undertaking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have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3" w:name="point4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42</w:t>
      </w:r>
      <w:bookmarkEnd w:id="4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ECHA,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supported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disputes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arguments.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4" w:name="point4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43</w:t>
      </w:r>
      <w:bookmarkEnd w:id="4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As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preliminary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point,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observed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ground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between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parties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Union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mainly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More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specifically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manufacture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polymers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meets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definition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an ‘on-site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3(15)(b)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clear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all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written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pleadings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but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provided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hearing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criticises ECHA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having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made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error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far as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relates to the use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hand, none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arguments relate to non-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Union.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5" w:name="point4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44</w:t>
      </w:r>
      <w:bookmarkEnd w:id="4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first place,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contrary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claims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despite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reading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on-site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or as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transported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automatically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exempted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all the provisions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Title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VII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therefore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escape the identification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provided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in Article 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6" w:name="point4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45</w:t>
      </w:r>
      <w:bookmarkEnd w:id="4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62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C:2017:802),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exemption laid down in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laid down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Chapters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 and 3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Title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VII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contrast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63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Article 2(8)(b)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preclude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capable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basis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criteria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laid down in Article 57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though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merely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on-site 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transported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7" w:name="point4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46</w:t>
      </w:r>
      <w:bookmarkEnd w:id="4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light of the Court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Justice’s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C:2017:802),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case,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correctly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the basis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8" w:name="point4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47</w:t>
      </w:r>
      <w:bookmarkEnd w:id="4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second place,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regard to the question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31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insert,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substances, an explicit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reference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covered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neither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59(1)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provision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ECHA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 xml:space="preserve">In reality,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apparent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79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EU:C:2017:802),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accompanying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a substance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for future inclusion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listing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affect the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exempted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serve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reiterate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already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derived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49" w:name="point4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48</w:t>
      </w:r>
      <w:bookmarkEnd w:id="4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light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foregoing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all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32 to 34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based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various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provisions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substantiate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essence,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precludes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application of Article 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regard to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Court of Justice has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clearly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2(8)(b)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contrary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0" w:name="point4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49</w:t>
      </w:r>
      <w:bookmarkEnd w:id="5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place,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various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provisions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reasons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set out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below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1" w:name="point5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50</w:t>
      </w:r>
      <w:bookmarkEnd w:id="5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First, the argument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reduced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registration conditions for on-site 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transported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laid down in Article 17(3) and Article 18(4)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35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).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2" w:name="point5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51</w:t>
      </w:r>
      <w:bookmarkEnd w:id="5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That argument,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seeks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essence,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demonstrate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benefit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regime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previously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forward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case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gave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C:2017:802,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27). The Court of Justice,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therefore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took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regards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some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substances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certain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benefit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reduced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registration conditions,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17(3) and Article 18(4)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However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lead to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differs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45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3" w:name="point5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52</w:t>
      </w:r>
      <w:bookmarkEnd w:id="5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Furthermore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argument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35 and 50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disregards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purpose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substances.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combined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reading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59(1)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recital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56 and Article 33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one of the objectives of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establishment of information sharing obligations in respect of substances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consumers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The identification of a substance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serves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improve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for the public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professionals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risks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dangers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incurred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Consequently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identification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regarded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means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enhancing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protection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human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health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environment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7 March 2013,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Rütgers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Germany and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Others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 T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96/10,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EU:T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:2013:109,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137).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4" w:name="point5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53</w:t>
      </w:r>
      <w:bookmarkEnd w:id="5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consistent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objective of sharing information on substances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consumers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certain substances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benefit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conditions for registration laid down in Article 17(3) and Article 18(4)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call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question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subject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substances to the information-sharing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regime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to, inter alia, in Article 33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5" w:name="point5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54</w:t>
      </w:r>
      <w:bookmarkEnd w:id="5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Secondly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same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reasons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argument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show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on-site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have a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nature’, 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even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specific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because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existence 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 xml:space="preserve">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reduced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conditions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substance,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stemming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49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37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6" w:name="point5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55</w:t>
      </w:r>
      <w:bookmarkEnd w:id="5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provisions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drawn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certain ECHA guides and guidance documents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certain documents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38 and 39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opinions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derived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documents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ECHA and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regard to the provisions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cannot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prevail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over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Court of Justice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C:2017:802).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7" w:name="point5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56</w:t>
      </w:r>
      <w:bookmarkEnd w:id="5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Fourthly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lastly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argument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‘in respect of all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uses’,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uses, triggers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significant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obligations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suppliers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although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effective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cannot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subject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60(2) or (4)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40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objective of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connection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establishment of information-sharing obligations in respect of substances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52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8" w:name="point5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57</w:t>
      </w:r>
      <w:bookmarkEnd w:id="5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circumstances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first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unfounded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The second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alleging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breach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principle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proportionality</w:t>
      </w:r>
      <w:proofErr w:type="spellEnd"/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59" w:name="point5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58</w:t>
      </w:r>
      <w:bookmarkEnd w:id="5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second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complains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breached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principle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proportionality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0" w:name="point5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59</w:t>
      </w:r>
      <w:bookmarkEnd w:id="6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first place,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difficulties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disproportionate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declared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aims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The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respect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necessary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achieve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objectives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pursued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view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will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role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1" w:name="point6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60</w:t>
      </w:r>
      <w:bookmarkEnd w:id="6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second place,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primarily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an inclusion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expressly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exclude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neither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necessary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appropriate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the least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onerous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regard,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nature’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recital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41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In the light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provision,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legislature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took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view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isolated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substances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exempted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entirety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legislature’s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intentions in the light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both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Title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VII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authorisation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the provisions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exemptions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granted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a substance at the time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appropriate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2" w:name="point6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61</w:t>
      </w:r>
      <w:bookmarkEnd w:id="6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ECHA,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supported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disputes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arguments.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3" w:name="point6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>62</w:t>
      </w:r>
      <w:bookmarkEnd w:id="6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recalled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first of all,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principle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proportionality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one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general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principles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EU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set out, inter alia, in Article 5(4) TEU,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settled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case-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adopted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institutions do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exceed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limits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appropriate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necessary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attain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aim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pursued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choice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between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several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appropriate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recourse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least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onerous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21 July 2011,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Etimine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 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15/10, EU:C:2011:504,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124 and the case-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cited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).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4" w:name="point6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63</w:t>
      </w:r>
      <w:bookmarkEnd w:id="6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first place, as regards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necessity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appropriateness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itself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59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indicate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clearly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specifically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difficulties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resulting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obligations,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namely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inter alia,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updating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safety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data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sheet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provided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in Article 31(9)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and the communication of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substance in question,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34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5" w:name="point6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64</w:t>
      </w:r>
      <w:bookmarkEnd w:id="6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far as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an abstract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general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manner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difficulties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suppliers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resulting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adoption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 application of Article 31(9) and Article 34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pointed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Court of Justice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62 and 63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EU:C:2017:802),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exempt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identification as a substance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That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case,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objective of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sharing of information on substances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consumers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prevails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over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difficulties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resulting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inter alia,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 application of Article 31(9) and Article 34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6" w:name="point6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65</w:t>
      </w:r>
      <w:bookmarkEnd w:id="6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far as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doubts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proportionality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because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do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role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inclusion of a substance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59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recalled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achieve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objective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connection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sharing of information on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52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).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legal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effects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do not go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beyond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appropriate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necessary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achieve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aim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7" w:name="point6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66</w:t>
      </w:r>
      <w:bookmarkEnd w:id="6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second place, as regards the argument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principle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proportionality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has been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breached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because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reference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substances,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capable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both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non-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60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observed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raised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case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EU:C:2017:802).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79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Court of Justice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accompanying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a substance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for future inclusion in Annex XIV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listing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affect the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exempted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Article 2(8)(b)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irrelevant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purposes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applying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principle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proportionality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8" w:name="point6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67</w:t>
      </w:r>
      <w:bookmarkEnd w:id="6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light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foregoing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all the arguments put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forward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support of the second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69" w:name="point6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68</w:t>
      </w:r>
      <w:bookmarkEnd w:id="6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Moreover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should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noted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correctly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inclusion of a substance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sought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rise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confusion as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whether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obligations 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 xml:space="preserve">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provide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resulting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inclusion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case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0" w:name="point6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69</w:t>
      </w:r>
      <w:bookmarkEnd w:id="7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view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foregoing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second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unfounded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The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third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alleging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manifest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error</w:t>
      </w:r>
      <w:proofErr w:type="spellEnd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assessment</w:t>
      </w:r>
      <w:proofErr w:type="spellEnd"/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1" w:name="point7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70</w:t>
      </w:r>
      <w:bookmarkEnd w:id="7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By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complains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manifest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error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failing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2" w:name="point7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71</w:t>
      </w:r>
      <w:bookmarkEnd w:id="7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examine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carefully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impartially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all the relevant aspects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individual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case. In addition,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42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15 March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Hitachi Chemical Europe and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Polynt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,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324/15 P,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C:2017:208), the Court of Justice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on uses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exposure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context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identification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Annex XV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information made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available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uses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dossier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Annex XV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served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the basis for the adoption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Annex XV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restrict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has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appear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dossier to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substance.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submission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if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information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have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conclude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or, at least,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 express exclusion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3" w:name="point7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72</w:t>
      </w:r>
      <w:bookmarkEnd w:id="7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ECHA,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supported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disputes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arguments.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4" w:name="point7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73</w:t>
      </w:r>
      <w:bookmarkEnd w:id="7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As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preliminary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point,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stated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at the time of the adoption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contested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decision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actually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aware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fact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could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either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or for non-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purposes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It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clear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Part II, point 9, of the dossier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drawn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up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Annex XV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submitted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been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brought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attention of ECHA by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competent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authority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5" w:name="point7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74</w:t>
      </w:r>
      <w:bookmarkEnd w:id="7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However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ECHA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cannot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criticised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manifest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error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regard,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reasons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set out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below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6" w:name="point75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75</w:t>
      </w:r>
      <w:bookmarkEnd w:id="7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essence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C:2017:802), if the conditions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59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are met, a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ECHA as a substance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identification and,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therefore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inclusion of a substance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are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carried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solely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 substance and not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uses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7" w:name="point76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76</w:t>
      </w:r>
      <w:bookmarkEnd w:id="7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true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follows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44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15 March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Hitachi Chemical Europe and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Polynt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 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324/15 P, EU:C:2017:208), as regards a substance meeting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criteria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set out in Article 57(f)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wrong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provision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excludes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principle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data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hazards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arising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apparent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40 and 44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Article 57(f)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prohibit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consideration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data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hazards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arising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substances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8" w:name="point77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77</w:t>
      </w:r>
      <w:bookmarkEnd w:id="7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However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first,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pointed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case,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Bisphenol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included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candidate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list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substances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toxic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reproduction,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within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57(c)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and not 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referred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in Article 57(f)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7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).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79" w:name="point78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78</w:t>
      </w:r>
      <w:bookmarkEnd w:id="7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The clarification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provided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Court of Justice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40 and 44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15 March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Hitachi Chemical Europe and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Polynt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324/15 P,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C:2017:208)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concept of ‘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’,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only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Article 57(f)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and not in Article 57(c)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That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also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apparent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32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Court of Justice of Article 57(f)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as set out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40 and 44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15 March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Hitachi Chemical Europe and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Polynt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324/15 P, </w:t>
      </w:r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EU:</w:t>
      </w:r>
      <w:proofErr w:type="gram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C:2017:208), has no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bearing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interpretation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Article 57(c)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issue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case.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80" w:name="point79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79</w:t>
      </w:r>
      <w:bookmarkEnd w:id="8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Secondly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contrary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suggests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15 March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 xml:space="preserve">Hitachi Chemical Europe and </w:t>
      </w:r>
      <w:proofErr w:type="spellStart"/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Polynt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324/15 P, EU:C:2017:208),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substance meeting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criteria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set out in Article 57(f)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the Court of Justice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conclude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all the information on a substance,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had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during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assessment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provided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in Article 57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1907/2006. On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contrary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clear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wording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Court of Justice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ECHA has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discretion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obliged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take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into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account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81" w:name="point80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80</w:t>
      </w:r>
      <w:bookmarkEnd w:id="8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     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perfectly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clear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paragraph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72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judgment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25 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October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2017,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PPG and SNF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v </w:t>
      </w: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ECHA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(C</w:t>
      </w: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noBreakHyphen/>
        <w:t xml:space="preserve">650/15 P, EU:C:2017:802)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use of a substance as an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intermediate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relevant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purposes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identifying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a substance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very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high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meets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criteria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set out in Article 57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Regulation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 1907/2006,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relating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use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concern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intrinsic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properties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substance.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82" w:name="point81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81</w:t>
      </w:r>
      <w:bookmarkEnd w:id="8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light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foregoing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third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rejected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unfounded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i/>
          <w:iCs/>
          <w:sz w:val="24"/>
          <w:szCs w:val="24"/>
          <w:lang w:val="fr-LU" w:eastAsia="it-IT"/>
        </w:rPr>
        <w:t> </w:t>
      </w:r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The application to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take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further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 or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measure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 as justice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may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fr-LU" w:eastAsia="it-IT"/>
        </w:rPr>
        <w:t>require</w:t>
      </w:r>
      <w:proofErr w:type="spellEnd"/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83" w:name="point82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82</w:t>
      </w:r>
      <w:bookmarkEnd w:id="8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case,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apart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from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concise nature of the application for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further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other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as justice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require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does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not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indication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measures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might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assistance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resolving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dispute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before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Court or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any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reasoning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the application in question,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observed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that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information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contained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the file and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explanations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at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hearing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were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sufficient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allow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Court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ruling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has been able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give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proper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ruling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on the basis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forms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sought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law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the arguments put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forward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during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proceedings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in the light of the documents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lodged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the parties.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abovementioned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application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dismissed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480" w:after="24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 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Costs</w:t>
      </w:r>
      <w:proofErr w:type="spellEnd"/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84" w:name="point83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lastRenderedPageBreak/>
        <w:t>83</w:t>
      </w:r>
      <w:bookmarkEnd w:id="84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      Under Article 134(1) of the Rules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Procedure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unsuccessful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party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have been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successful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party’s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pleadings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case, ECHA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have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for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present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proceedings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Since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applicant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has been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unsuccessful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own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and to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pay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ECHA and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in accordance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with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form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of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order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sought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by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parties.</w:t>
      </w:r>
    </w:p>
    <w:p w:rsidR="00F26F58" w:rsidRPr="00F26F58" w:rsidRDefault="00F26F58" w:rsidP="00F26F58">
      <w:pPr>
        <w:spacing w:before="100" w:beforeAutospacing="1" w:after="240" w:line="240" w:lineRule="auto"/>
        <w:ind w:left="567" w:hanging="539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bookmarkStart w:id="85" w:name="point84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84</w:t>
      </w:r>
      <w:bookmarkEnd w:id="85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In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accordance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with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Article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138(1) of the Rules of Procedure,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Member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States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which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have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intervened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the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proceedings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are to bear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>own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costs.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Accordingly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, the French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must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bear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own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On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those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grounds,</w:t>
      </w:r>
    </w:p>
    <w:p w:rsidR="00F26F58" w:rsidRPr="00F26F58" w:rsidRDefault="00F26F58" w:rsidP="00F26F58">
      <w:pPr>
        <w:spacing w:after="24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THE GENERAL COURT (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Fifth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Chamber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),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proofErr w:type="gram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hereby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:</w:t>
      </w:r>
      <w:proofErr w:type="gramEnd"/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1.      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Dismisses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the </w:t>
      </w:r>
      <w:proofErr w:type="gram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action;</w:t>
      </w:r>
      <w:proofErr w:type="gramEnd"/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2.      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Orders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PlasticsEurope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bear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own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and to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pay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the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incurred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by the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European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Chemicals Agency (ECHA) and </w:t>
      </w:r>
      <w:proofErr w:type="spellStart"/>
      <w:proofErr w:type="gram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ClientEarth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;</w:t>
      </w:r>
      <w:proofErr w:type="gramEnd"/>
    </w:p>
    <w:p w:rsidR="00F26F58" w:rsidRPr="00F26F58" w:rsidRDefault="00F26F58" w:rsidP="00F26F58">
      <w:pPr>
        <w:spacing w:before="100" w:beforeAutospacing="1" w:after="24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</w:pPr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3.      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Orders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the French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Republic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to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bear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its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own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 xml:space="preserve"> </w:t>
      </w:r>
      <w:proofErr w:type="spellStart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costs</w:t>
      </w:r>
      <w:proofErr w:type="spellEnd"/>
      <w:r w:rsidRPr="00F26F58">
        <w:rPr>
          <w:rFonts w:ascii="Times New Roman" w:eastAsia="Times New Roman" w:hAnsi="Times New Roman" w:cs="Times New Roman"/>
          <w:b/>
          <w:bCs/>
          <w:sz w:val="24"/>
          <w:szCs w:val="24"/>
          <w:lang w:val="fr-LU" w:eastAsia="it-IT"/>
        </w:rPr>
        <w:t>.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F26F58" w:rsidRPr="00F26F58" w:rsidTr="00F26F58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Gratsias</w:t>
            </w:r>
            <w:proofErr w:type="spellEnd"/>
          </w:p>
        </w:tc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Labucka</w:t>
            </w:r>
            <w:proofErr w:type="spellEnd"/>
          </w:p>
        </w:tc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Dittrich</w:t>
            </w:r>
            <w:proofErr w:type="spellEnd"/>
          </w:p>
        </w:tc>
      </w:tr>
    </w:tbl>
    <w:p w:rsidR="00F26F58" w:rsidRPr="00F26F58" w:rsidRDefault="00F26F58" w:rsidP="00F26F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  <w:proofErr w:type="spellStart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>Delivered</w:t>
      </w:r>
      <w:proofErr w:type="spellEnd"/>
      <w:r w:rsidRPr="00F26F58"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  <w:t xml:space="preserve"> in open court in Luxembourg on 11 July 2019.</w:t>
      </w:r>
    </w:p>
    <w:p w:rsidR="00F26F58" w:rsidRPr="00F26F58" w:rsidRDefault="00F26F58" w:rsidP="00F26F58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fr-LU"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F26F58" w:rsidRPr="00F26F58" w:rsidTr="00F26F58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after="120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E. </w:t>
            </w:r>
            <w:proofErr w:type="spellStart"/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Coulon</w:t>
            </w:r>
            <w:proofErr w:type="spellEnd"/>
          </w:p>
        </w:tc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after="120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      D. </w:t>
            </w:r>
            <w:proofErr w:type="spellStart"/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Gratsias</w:t>
            </w:r>
            <w:proofErr w:type="spellEnd"/>
          </w:p>
        </w:tc>
      </w:tr>
    </w:tbl>
    <w:p w:rsidR="00F26F58" w:rsidRPr="00F26F58" w:rsidRDefault="00F26F58" w:rsidP="00F26F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F26F58" w:rsidRPr="00F26F58" w:rsidTr="00F26F58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after="120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Registrar</w:t>
            </w:r>
          </w:p>
        </w:tc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F26F58" w:rsidRPr="00F26F58" w:rsidRDefault="00F26F58" w:rsidP="00F26F58">
            <w:pPr>
              <w:spacing w:after="120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    </w:t>
            </w:r>
            <w:proofErr w:type="spellStart"/>
            <w:r w:rsidRPr="00F26F5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President</w:t>
            </w:r>
            <w:proofErr w:type="spellEnd"/>
          </w:p>
        </w:tc>
      </w:tr>
    </w:tbl>
    <w:p w:rsidR="00217037" w:rsidRDefault="00217037"/>
    <w:sectPr w:rsidR="002170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58"/>
    <w:rsid w:val="00217037"/>
    <w:rsid w:val="00F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00A2-6E38-45E2-AE91-63AB79D2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Ranieri</dc:creator>
  <cp:keywords/>
  <dc:description/>
  <cp:lastModifiedBy>Annamaria Ranieri</cp:lastModifiedBy>
  <cp:revision>1</cp:revision>
  <dcterms:created xsi:type="dcterms:W3CDTF">2019-07-12T08:41:00Z</dcterms:created>
  <dcterms:modified xsi:type="dcterms:W3CDTF">2019-07-12T08:43:00Z</dcterms:modified>
</cp:coreProperties>
</file>